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proofErr w:type="gramStart"/>
      <w:r w:rsidR="0075400E">
        <w:rPr>
          <w:rFonts w:ascii="Tahoma" w:hAnsi="Tahoma"/>
          <w:color w:val="008000"/>
          <w:sz w:val="28"/>
          <w:szCs w:val="28"/>
        </w:rPr>
        <w:t>Fall</w:t>
      </w:r>
      <w:proofErr w:type="gramEnd"/>
      <w:r w:rsidR="004302C4">
        <w:rPr>
          <w:rFonts w:ascii="Tahoma" w:hAnsi="Tahoma"/>
          <w:color w:val="008000"/>
          <w:sz w:val="28"/>
          <w:szCs w:val="28"/>
        </w:rPr>
        <w:t xml:space="preserve"> 2017</w:t>
      </w:r>
    </w:p>
    <w:p w:rsidR="002B5324" w:rsidRDefault="001F19B9" w:rsidP="002B5324">
      <w:pPr>
        <w:jc w:val="center"/>
        <w:rPr>
          <w:rFonts w:ascii="Tahoma" w:hAnsi="Tahoma" w:cs="Arial"/>
        </w:rPr>
      </w:pPr>
      <w:r>
        <w:rPr>
          <w:rFonts w:ascii="Tahoma" w:eastAsia="Batang" w:hAnsi="Tahoma" w:cs="Arial"/>
          <w:lang w:eastAsia="ko-KR"/>
        </w:rPr>
        <w:t xml:space="preserve">[Section 1] </w:t>
      </w:r>
      <w:r w:rsidR="007B4581">
        <w:rPr>
          <w:rFonts w:ascii="Tahoma" w:eastAsia="Batang" w:hAnsi="Tahoma" w:cs="Arial" w:hint="eastAsia"/>
          <w:lang w:eastAsia="ko-KR"/>
        </w:rPr>
        <w:t xml:space="preserve">MWF </w:t>
      </w:r>
      <w:r w:rsidR="0075400E">
        <w:rPr>
          <w:rFonts w:ascii="Tahoma" w:eastAsia="Batang" w:hAnsi="Tahoma" w:cs="Arial"/>
          <w:lang w:eastAsia="ko-KR"/>
        </w:rPr>
        <w:t>9</w:t>
      </w:r>
      <w:r w:rsidR="007B4581">
        <w:rPr>
          <w:rFonts w:ascii="Tahoma" w:eastAsia="Batang" w:hAnsi="Tahoma" w:cs="Arial" w:hint="eastAsia"/>
          <w:lang w:eastAsia="ko-KR"/>
        </w:rPr>
        <w:t>:00~</w:t>
      </w:r>
      <w:r w:rsidR="0075400E">
        <w:rPr>
          <w:rFonts w:ascii="Tahoma" w:eastAsia="Batang" w:hAnsi="Tahoma" w:cs="Arial"/>
          <w:lang w:eastAsia="ko-KR"/>
        </w:rPr>
        <w:t>9</w:t>
      </w:r>
      <w:r w:rsidR="007B4581">
        <w:rPr>
          <w:rFonts w:ascii="Tahoma" w:eastAsia="Batang" w:hAnsi="Tahoma" w:cs="Arial" w:hint="eastAsia"/>
          <w:lang w:eastAsia="ko-KR"/>
        </w:rPr>
        <w:t>:50</w:t>
      </w:r>
      <w:r w:rsidR="0075400E">
        <w:rPr>
          <w:rFonts w:ascii="Tahoma" w:eastAsia="Batang" w:hAnsi="Tahoma" w:cs="Arial"/>
          <w:lang w:eastAsia="ko-KR"/>
        </w:rPr>
        <w:t>AM</w:t>
      </w:r>
      <w:r w:rsidR="002B5324" w:rsidRPr="007B4581">
        <w:rPr>
          <w:rFonts w:ascii="Tahoma" w:hAnsi="Tahoma" w:cs="Arial"/>
        </w:rPr>
        <w:t xml:space="preserve">, </w:t>
      </w:r>
      <w:r w:rsidR="009F31B6">
        <w:rPr>
          <w:rFonts w:ascii="Tahoma" w:hAnsi="Tahoma" w:cs="Arial"/>
        </w:rPr>
        <w:t>Davis 212</w:t>
      </w:r>
    </w:p>
    <w:p w:rsidR="009D7B91" w:rsidRDefault="009D7B91" w:rsidP="004269AD">
      <w:pPr>
        <w:jc w:val="center"/>
        <w:rPr>
          <w:rFonts w:ascii="Tahoma" w:eastAsia="Batang" w:hAnsi="Tahoma" w:cs="Arial"/>
          <w:lang w:eastAsia="ko-KR"/>
        </w:rPr>
      </w:pPr>
    </w:p>
    <w:p w:rsidR="0033711E" w:rsidRPr="007B4581" w:rsidRDefault="0033711E"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rsidTr="000E63D1">
        <w:trPr>
          <w:jc w:val="center"/>
        </w:trPr>
        <w:tc>
          <w:tcPr>
            <w:tcW w:w="845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0E63D1">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0E63D1">
              <w:rPr>
                <w:rFonts w:ascii="Tahoma" w:hAnsi="Tahoma" w:cs="Arial"/>
              </w:rPr>
              <w:t>3</w:t>
            </w:r>
            <w:r w:rsidR="004302C4">
              <w:rPr>
                <w:rFonts w:ascii="Tahoma" w:hAnsi="Tahoma" w:cs="Arial"/>
              </w:rPr>
              <w:t>-5</w:t>
            </w:r>
            <w:r w:rsidR="00634046">
              <w:rPr>
                <w:rFonts w:ascii="Tahoma" w:hAnsi="Tahoma" w:cs="Arial"/>
              </w:rPr>
              <w:t>PM</w:t>
            </w:r>
            <w:r w:rsidR="00634046" w:rsidRPr="00A35713">
              <w:rPr>
                <w:rFonts w:ascii="Tahoma" w:hAnsi="Tahoma" w:cs="Arial"/>
              </w:rPr>
              <w:t xml:space="preserve">; </w:t>
            </w:r>
            <w:r w:rsidR="000E63D1">
              <w:rPr>
                <w:rFonts w:ascii="Tahoma" w:hAnsi="Tahoma" w:cs="Arial"/>
              </w:rPr>
              <w:t xml:space="preserve">W3-4PM; </w:t>
            </w:r>
            <w:r w:rsidR="002514D7">
              <w:rPr>
                <w:rFonts w:ascii="Tahoma" w:hAnsi="Tahoma" w:cs="Arial"/>
              </w:rPr>
              <w:t>Thur11-12Noon</w:t>
            </w:r>
            <w:r w:rsidR="00423818">
              <w:rPr>
                <w:rFonts w:ascii="Tahoma" w:hAnsi="Tahoma" w:cs="Arial"/>
              </w:rPr>
              <w:t xml:space="preserve"> (online)</w:t>
            </w:r>
            <w:r w:rsidR="001F19B9">
              <w:rPr>
                <w:rFonts w:ascii="Tahoma" w:hAnsi="Tahoma" w:cs="Arial"/>
              </w:rPr>
              <w:t xml:space="preserve">; </w:t>
            </w:r>
            <w:r w:rsidR="009F31B6">
              <w:rPr>
                <w:rFonts w:ascii="Tahoma" w:hAnsi="Tahoma" w:cs="Arial"/>
              </w:rPr>
              <w:t>F</w:t>
            </w:r>
            <w:r w:rsidR="000E63D1">
              <w:rPr>
                <w:rFonts w:ascii="Tahoma" w:hAnsi="Tahoma" w:cs="Arial"/>
              </w:rPr>
              <w:t>3-4</w:t>
            </w:r>
            <w:r w:rsidR="004302C4">
              <w:rPr>
                <w:rFonts w:ascii="Tahoma" w:hAnsi="Tahoma" w:cs="Arial"/>
              </w:rPr>
              <w:t>PM</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Default="009D7B91" w:rsidP="009D7B91">
      <w:pPr>
        <w:pStyle w:val="BodyText"/>
        <w:jc w:val="both"/>
        <w:rPr>
          <w:rFonts w:ascii="Tahoma" w:hAnsi="Tahoma" w:cs="Arial"/>
          <w:sz w:val="20"/>
        </w:rPr>
      </w:pPr>
    </w:p>
    <w:p w:rsidR="0033711E" w:rsidRPr="007B4581" w:rsidRDefault="0033711E"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3711E" w:rsidRPr="0031046B" w:rsidRDefault="0033711E" w:rsidP="00FD4DF0">
      <w:pPr>
        <w:jc w:val="both"/>
        <w:rPr>
          <w:rFonts w:ascii="Tahoma" w:hAnsi="Tahoma" w:cs="Tahoma"/>
        </w:rPr>
      </w:pPr>
      <w:bookmarkStart w:id="0" w:name="_GoBack"/>
      <w:bookmarkEnd w:id="0"/>
    </w:p>
    <w:p w:rsidR="009D7B91" w:rsidRPr="0031046B" w:rsidRDefault="009D7B91" w:rsidP="00FD4DF0">
      <w:pPr>
        <w:jc w:val="both"/>
        <w:rPr>
          <w:rFonts w:ascii="Tahoma" w:hAnsi="Tahoma" w:cs="Tahoma"/>
          <w:b/>
          <w:u w:val="single"/>
        </w:rPr>
      </w:pPr>
      <w:r w:rsidRPr="0031046B">
        <w:rPr>
          <w:rFonts w:ascii="Tahoma" w:hAnsi="Tahoma" w:cs="Tahoma"/>
          <w:b/>
          <w:u w:val="single"/>
        </w:rPr>
        <w:lastRenderedPageBreak/>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A6A16"/>
    <w:rsid w:val="003D1A5A"/>
    <w:rsid w:val="003F3321"/>
    <w:rsid w:val="00401555"/>
    <w:rsid w:val="00423818"/>
    <w:rsid w:val="00424F25"/>
    <w:rsid w:val="004269AD"/>
    <w:rsid w:val="004302C4"/>
    <w:rsid w:val="00442701"/>
    <w:rsid w:val="00466FB5"/>
    <w:rsid w:val="004B43EA"/>
    <w:rsid w:val="004E2175"/>
    <w:rsid w:val="00514288"/>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5400E"/>
    <w:rsid w:val="007833AD"/>
    <w:rsid w:val="00792765"/>
    <w:rsid w:val="007B4581"/>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E7ECB"/>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4830</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2015-08-27T21:25:00Z</cp:lastPrinted>
  <dcterms:created xsi:type="dcterms:W3CDTF">2017-08-24T20:40:00Z</dcterms:created>
  <dcterms:modified xsi:type="dcterms:W3CDTF">2017-08-24T21:39:00Z</dcterms:modified>
</cp:coreProperties>
</file>