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E4" w:rsidRDefault="008E60F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/>
      </w:r>
      <w:r w:rsidR="002B1AE4">
        <w:rPr>
          <w:rFonts w:ascii="Verdana" w:hAnsi="Verdana"/>
          <w:sz w:val="18"/>
          <w:szCs w:val="18"/>
        </w:rPr>
        <w:instrText xml:space="preserve"> HYPERLINK "</w:instrText>
      </w:r>
      <w:r w:rsidR="002B1AE4" w:rsidRPr="002B1AE4">
        <w:rPr>
          <w:rFonts w:ascii="Verdana" w:hAnsi="Verdana"/>
          <w:sz w:val="18"/>
          <w:szCs w:val="18"/>
        </w:rPr>
        <w:instrText>http://forums.appleinsider.com/archive/index.php/t-63372.html</w:instrText>
      </w:r>
      <w:r w:rsidR="002B1AE4">
        <w:rPr>
          <w:rFonts w:ascii="Verdana" w:hAnsi="Verdana"/>
          <w:sz w:val="18"/>
          <w:szCs w:val="18"/>
        </w:rPr>
        <w:instrText xml:space="preserve">" </w:instrText>
      </w:r>
      <w:r>
        <w:rPr>
          <w:rFonts w:ascii="Verdana" w:hAnsi="Verdana"/>
          <w:sz w:val="18"/>
          <w:szCs w:val="18"/>
        </w:rPr>
        <w:fldChar w:fldCharType="separate"/>
      </w:r>
      <w:r w:rsidR="002B1AE4" w:rsidRPr="005C28F9">
        <w:rPr>
          <w:rStyle w:val="Hyperlink"/>
          <w:rFonts w:ascii="Verdana" w:hAnsi="Verdana"/>
          <w:sz w:val="18"/>
          <w:szCs w:val="18"/>
        </w:rPr>
        <w:t>http://forums.appleinsider.com/archive/index.php/t-63372.html</w:t>
      </w:r>
      <w:r>
        <w:rPr>
          <w:rFonts w:ascii="Verdana" w:hAnsi="Verdana"/>
          <w:sz w:val="18"/>
          <w:szCs w:val="18"/>
        </w:rPr>
        <w:fldChar w:fldCharType="end"/>
      </w:r>
    </w:p>
    <w:p w:rsidR="002B1AE4" w:rsidRDefault="002B1AE4">
      <w:pPr>
        <w:rPr>
          <w:rFonts w:ascii="Verdana" w:hAnsi="Verdana"/>
          <w:sz w:val="18"/>
          <w:szCs w:val="18"/>
        </w:rPr>
      </w:pPr>
    </w:p>
    <w:p w:rsidR="00DA4DE2" w:rsidRDefault="002B1AE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Big-O: The asymptotic worst case performance of an algorithm. The function n happens to be the lowest valued function that will always have a higher value than the actual running of the algorithm. [</w:t>
      </w:r>
      <w:proofErr w:type="gramStart"/>
      <w:r>
        <w:rPr>
          <w:rFonts w:ascii="Verdana" w:hAnsi="Verdana"/>
          <w:sz w:val="18"/>
          <w:szCs w:val="18"/>
        </w:rPr>
        <w:t>constant</w:t>
      </w:r>
      <w:proofErr w:type="gramEnd"/>
      <w:r>
        <w:rPr>
          <w:rFonts w:ascii="Verdana" w:hAnsi="Verdana"/>
          <w:sz w:val="18"/>
          <w:szCs w:val="18"/>
        </w:rPr>
        <w:t xml:space="preserve"> factors are ignored because they are meaningless as n reaches infinity]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proofErr w:type="gramStart"/>
      <w:r>
        <w:rPr>
          <w:rFonts w:ascii="Verdana" w:hAnsi="Verdana"/>
          <w:sz w:val="18"/>
          <w:szCs w:val="18"/>
        </w:rPr>
        <w:t>Big-Omega.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The opposite of Big-O.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The asymptotic best case performance of an algorithm.</w:t>
      </w:r>
      <w:proofErr w:type="gramEnd"/>
      <w:r>
        <w:rPr>
          <w:rFonts w:ascii="Verdana" w:hAnsi="Verdana"/>
          <w:sz w:val="18"/>
          <w:szCs w:val="18"/>
        </w:rPr>
        <w:t xml:space="preserve"> The function n happens to be the highest valued function that will always have a lower value than the actual running of the algorithm. [</w:t>
      </w:r>
      <w:proofErr w:type="gramStart"/>
      <w:r>
        <w:rPr>
          <w:rFonts w:ascii="Verdana" w:hAnsi="Verdana"/>
          <w:sz w:val="18"/>
          <w:szCs w:val="18"/>
        </w:rPr>
        <w:t>constant</w:t>
      </w:r>
      <w:proofErr w:type="gramEnd"/>
      <w:r>
        <w:rPr>
          <w:rFonts w:ascii="Verdana" w:hAnsi="Verdana"/>
          <w:sz w:val="18"/>
          <w:szCs w:val="18"/>
        </w:rPr>
        <w:t xml:space="preserve"> factors are ignored because they are meaningless as n reaches infinity]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proofErr w:type="gramStart"/>
      <w:r>
        <w:rPr>
          <w:rFonts w:ascii="Verdana" w:hAnsi="Verdana"/>
          <w:sz w:val="18"/>
          <w:szCs w:val="18"/>
        </w:rPr>
        <w:t>Big-Theta.</w:t>
      </w:r>
      <w:proofErr w:type="gramEnd"/>
      <w:r>
        <w:rPr>
          <w:rFonts w:ascii="Verdana" w:hAnsi="Verdana"/>
          <w:sz w:val="18"/>
          <w:szCs w:val="18"/>
        </w:rPr>
        <w:t xml:space="preserve"> The algorithm is so nicely behaved that some function n can describe both the algorithm's upper and lower bounds within the range defined by some constant value c. An algorithm could then have something like this: </w:t>
      </w:r>
      <w:proofErr w:type="spellStart"/>
      <w:proofErr w:type="gramStart"/>
      <w:r>
        <w:rPr>
          <w:rFonts w:ascii="Verdana" w:hAnsi="Verdana"/>
          <w:sz w:val="18"/>
          <w:szCs w:val="18"/>
        </w:rPr>
        <w:t>BigTheta</w:t>
      </w:r>
      <w:proofErr w:type="spellEnd"/>
      <w:r>
        <w:rPr>
          <w:rFonts w:ascii="Verdana" w:hAnsi="Verdana"/>
          <w:sz w:val="18"/>
          <w:szCs w:val="18"/>
        </w:rPr>
        <w:t>(</w:t>
      </w:r>
      <w:proofErr w:type="gramEnd"/>
      <w:r>
        <w:rPr>
          <w:rFonts w:ascii="Verdana" w:hAnsi="Verdana"/>
          <w:sz w:val="18"/>
          <w:szCs w:val="18"/>
        </w:rPr>
        <w:t xml:space="preserve">n), O(c1n), </w:t>
      </w:r>
      <w:proofErr w:type="spellStart"/>
      <w:r>
        <w:rPr>
          <w:rFonts w:ascii="Verdana" w:hAnsi="Verdana"/>
          <w:sz w:val="18"/>
          <w:szCs w:val="18"/>
        </w:rPr>
        <w:t>BigOmega</w:t>
      </w:r>
      <w:proofErr w:type="spellEnd"/>
      <w:r>
        <w:rPr>
          <w:rFonts w:ascii="Verdana" w:hAnsi="Verdana"/>
          <w:sz w:val="18"/>
          <w:szCs w:val="18"/>
        </w:rPr>
        <w:t>(-c2n) where n == n throughout.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Little-o is like Big-O but sloppy. Big-O and the actual algorithm performance will actually become nearly identical as you head out to infinity. </w:t>
      </w:r>
      <w:proofErr w:type="gramStart"/>
      <w:r>
        <w:rPr>
          <w:rFonts w:ascii="Verdana" w:hAnsi="Verdana"/>
          <w:sz w:val="18"/>
          <w:szCs w:val="18"/>
        </w:rPr>
        <w:t>little-o</w:t>
      </w:r>
      <w:proofErr w:type="gramEnd"/>
      <w:r>
        <w:rPr>
          <w:rFonts w:ascii="Verdana" w:hAnsi="Verdana"/>
          <w:sz w:val="18"/>
          <w:szCs w:val="18"/>
        </w:rPr>
        <w:t xml:space="preserve"> is just some function that will always be bigger than the actual performance. Example: </w:t>
      </w:r>
      <w:proofErr w:type="gramStart"/>
      <w:r>
        <w:rPr>
          <w:rFonts w:ascii="Verdana" w:hAnsi="Verdana"/>
          <w:sz w:val="18"/>
          <w:szCs w:val="18"/>
        </w:rPr>
        <w:t>o(</w:t>
      </w:r>
      <w:proofErr w:type="gramEnd"/>
      <w:r>
        <w:rPr>
          <w:rFonts w:ascii="Verdana" w:hAnsi="Verdana"/>
          <w:sz w:val="18"/>
          <w:szCs w:val="18"/>
        </w:rPr>
        <w:t>n^7) is a valid little-o for a function that might actually have linear or O(n) performance.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Little-Omega is just the opposite. </w:t>
      </w:r>
      <w:proofErr w:type="gramStart"/>
      <w:r>
        <w:rPr>
          <w:rFonts w:ascii="Verdana" w:hAnsi="Verdana"/>
          <w:sz w:val="18"/>
          <w:szCs w:val="18"/>
        </w:rPr>
        <w:t>w(</w:t>
      </w:r>
      <w:proofErr w:type="gramEnd"/>
      <w:r>
        <w:rPr>
          <w:rFonts w:ascii="Verdana" w:hAnsi="Verdana"/>
          <w:sz w:val="18"/>
          <w:szCs w:val="18"/>
        </w:rPr>
        <w:t xml:space="preserve">1) [constant time] would be a valid little omega for the same above function that might actually </w:t>
      </w:r>
      <w:proofErr w:type="spellStart"/>
      <w:r>
        <w:rPr>
          <w:rFonts w:ascii="Verdana" w:hAnsi="Verdana"/>
          <w:sz w:val="18"/>
          <w:szCs w:val="18"/>
        </w:rPr>
        <w:t>exihbit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BigOmega</w:t>
      </w:r>
      <w:proofErr w:type="spellEnd"/>
      <w:r>
        <w:rPr>
          <w:rFonts w:ascii="Verdana" w:hAnsi="Verdana"/>
          <w:sz w:val="18"/>
          <w:szCs w:val="18"/>
        </w:rPr>
        <w:t>(n) performance.</w:t>
      </w:r>
    </w:p>
    <w:p w:rsidR="002C0F11" w:rsidRDefault="002C0F11">
      <w:pPr>
        <w:rPr>
          <w:rFonts w:ascii="Verdana" w:hAnsi="Verdana"/>
          <w:sz w:val="18"/>
          <w:szCs w:val="18"/>
        </w:rPr>
      </w:pPr>
    </w:p>
    <w:p w:rsidR="002C0F11" w:rsidRDefault="002C0F11">
      <w:pPr>
        <w:rPr>
          <w:rFonts w:ascii="Verdana" w:hAnsi="Verdana"/>
          <w:sz w:val="18"/>
          <w:szCs w:val="18"/>
        </w:rPr>
      </w:pPr>
      <w:hyperlink r:id="rId5" w:history="1">
        <w:r w:rsidRPr="00D8005C">
          <w:rPr>
            <w:rStyle w:val="Hyperlink"/>
            <w:rFonts w:ascii="Verdana" w:hAnsi="Verdana"/>
            <w:sz w:val="18"/>
            <w:szCs w:val="18"/>
          </w:rPr>
          <w:t>http://en.wikipedia.org/wiki/Big_O_notation#Family_of_Bachmann.E2.80.93Landau_notations</w:t>
        </w:r>
      </w:hyperlink>
    </w:p>
    <w:p w:rsidR="002C0F11" w:rsidRDefault="002C0F11">
      <w:pPr>
        <w:rPr>
          <w:rFonts w:ascii="Verdana" w:hAnsi="Verdana"/>
          <w:sz w:val="18"/>
          <w:szCs w:val="18"/>
        </w:rPr>
      </w:pPr>
    </w:p>
    <w:p w:rsidR="002C0F11" w:rsidRDefault="002C0F11" w:rsidP="002C0F11">
      <w:pPr>
        <w:pStyle w:val="Heading3"/>
        <w:rPr>
          <w:lang/>
        </w:rPr>
      </w:pPr>
      <w:r>
        <w:rPr>
          <w:rStyle w:val="mw-headline"/>
          <w:lang/>
        </w:rPr>
        <w:t>Family of Bachmann–Landau notations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0"/>
        <w:gridCol w:w="743"/>
        <w:gridCol w:w="1006"/>
        <w:gridCol w:w="2600"/>
        <w:gridCol w:w="3581"/>
      </w:tblGrid>
      <w:tr w:rsidR="002C0F11" w:rsidTr="002C0F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0F11" w:rsidRDefault="002C0F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Notation</w:t>
            </w:r>
          </w:p>
        </w:tc>
        <w:tc>
          <w:tcPr>
            <w:tcW w:w="0" w:type="auto"/>
            <w:vAlign w:val="center"/>
            <w:hideMark/>
          </w:tcPr>
          <w:p w:rsidR="002C0F11" w:rsidRDefault="002C0F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2C0F11" w:rsidRDefault="002C0F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Intuition</w:t>
            </w:r>
          </w:p>
        </w:tc>
        <w:tc>
          <w:tcPr>
            <w:tcW w:w="0" w:type="auto"/>
            <w:vAlign w:val="center"/>
            <w:hideMark/>
          </w:tcPr>
          <w:p w:rsidR="002C0F11" w:rsidRDefault="002C0F11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</w:rPr>
              <w:t xml:space="preserve">As </w:t>
            </w:r>
            <w:proofErr w:type="gramEnd"/>
            <w:r>
              <w:rPr>
                <w:b/>
                <w:bCs/>
                <w:noProof/>
              </w:rPr>
              <w:drawing>
                <wp:inline distT="0" distB="0" distL="0" distR="0">
                  <wp:extent cx="584835" cy="95885"/>
                  <wp:effectExtent l="19050" t="0" r="5715" b="0"/>
                  <wp:docPr id="1" name="Picture 1" descr=" n \to \inf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n \to \inf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95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, eventually...</w:t>
            </w:r>
          </w:p>
        </w:tc>
        <w:tc>
          <w:tcPr>
            <w:tcW w:w="0" w:type="auto"/>
            <w:vAlign w:val="center"/>
            <w:hideMark/>
          </w:tcPr>
          <w:p w:rsidR="002C0F11" w:rsidRDefault="002C0F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Definition</w:t>
            </w:r>
          </w:p>
        </w:tc>
      </w:tr>
      <w:tr w:rsidR="002C0F11" w:rsidTr="002C0F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0F11" w:rsidRDefault="002C0F11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233170" cy="201930"/>
                  <wp:effectExtent l="19050" t="0" r="5080" b="0"/>
                  <wp:docPr id="2" name="Picture 2" descr="f(n) \in O(g(n)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(n) \in O(g(n)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0F11" w:rsidRDefault="002C0F11">
            <w:pPr>
              <w:rPr>
                <w:sz w:val="24"/>
                <w:szCs w:val="24"/>
              </w:rPr>
            </w:pPr>
            <w:r>
              <w:t>Big Omicron; Big O; Big Oh</w:t>
            </w:r>
          </w:p>
        </w:tc>
        <w:tc>
          <w:tcPr>
            <w:tcW w:w="0" w:type="auto"/>
            <w:vAlign w:val="center"/>
            <w:hideMark/>
          </w:tcPr>
          <w:p w:rsidR="002C0F11" w:rsidRDefault="002C0F11">
            <w:pPr>
              <w:rPr>
                <w:sz w:val="24"/>
                <w:szCs w:val="24"/>
              </w:rPr>
            </w:pPr>
            <w:r>
              <w:rPr>
                <w:rStyle w:val="texhtml"/>
                <w:i/>
                <w:iCs/>
              </w:rPr>
              <w:t>f</w:t>
            </w:r>
            <w:r>
              <w:t xml:space="preserve"> is bounded above by </w:t>
            </w:r>
            <w:r>
              <w:rPr>
                <w:rStyle w:val="texhtml"/>
                <w:i/>
                <w:iCs/>
              </w:rPr>
              <w:t>g</w:t>
            </w:r>
            <w:r>
              <w:t xml:space="preserve"> (up to constant factor) asymptotically</w:t>
            </w:r>
          </w:p>
        </w:tc>
        <w:tc>
          <w:tcPr>
            <w:tcW w:w="0" w:type="auto"/>
            <w:vAlign w:val="center"/>
            <w:hideMark/>
          </w:tcPr>
          <w:p w:rsidR="002C0F11" w:rsidRDefault="002C0F11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297305" cy="201930"/>
                  <wp:effectExtent l="19050" t="0" r="0" b="0"/>
                  <wp:docPr id="3" name="Picture 3" descr="|f(n)|  \leq  g(n)\cdot 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|f(n)|  \leq  g(n)\cdot 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for some </w:t>
            </w:r>
            <w:r>
              <w:rPr>
                <w:i/>
                <w:iCs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2C0F11" w:rsidRDefault="002C0F11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976880" cy="201930"/>
                  <wp:effectExtent l="19050" t="0" r="0" b="0"/>
                  <wp:docPr id="4" name="Picture 4" descr="\exists k&gt;0, n_0 \; \forall n&gt;n_0 \; |f(n)| \leq |g(n)\cdot k|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exists k&gt;0, n_0 \; \forall n&gt;n_0 \; |f(n)| \leq |g(n)\cdot k|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88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or</w:t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2774950" cy="201930"/>
                  <wp:effectExtent l="19050" t="0" r="6350" b="0"/>
                  <wp:docPr id="5" name="Picture 5" descr="  \exists k&gt;0, n_0 \; \forall n&gt;n_0 \; f(n) \leq g(n)\cdot 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 \exists k&gt;0, n_0 \; \forall n&gt;n_0 \; f(n) \leq g(n)\cdot 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F11" w:rsidTr="002C0F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0F11" w:rsidRDefault="002C0F11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212215" cy="201930"/>
                  <wp:effectExtent l="19050" t="0" r="6985" b="0"/>
                  <wp:docPr id="6" name="Picture 6" descr="f(n) \in \Omega(g(n)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(n) \in \Omega(g(n)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(Note that, since the beginning of the 20th century, papers in number theory have been increasingly and widely using this notation in the weaker sense that </w:t>
            </w:r>
            <w:r>
              <w:rPr>
                <w:i/>
                <w:iCs/>
              </w:rPr>
              <w:t>f</w:t>
            </w:r>
            <w:r>
              <w:t xml:space="preserve"> = o(</w:t>
            </w:r>
            <w:r>
              <w:rPr>
                <w:i/>
                <w:iCs/>
              </w:rPr>
              <w:t>g</w:t>
            </w:r>
            <w:r>
              <w:t>) is false)</w:t>
            </w:r>
          </w:p>
        </w:tc>
        <w:tc>
          <w:tcPr>
            <w:tcW w:w="0" w:type="auto"/>
            <w:vAlign w:val="center"/>
            <w:hideMark/>
          </w:tcPr>
          <w:p w:rsidR="002C0F11" w:rsidRDefault="002C0F11">
            <w:pPr>
              <w:rPr>
                <w:sz w:val="24"/>
                <w:szCs w:val="24"/>
              </w:rPr>
            </w:pPr>
            <w:r>
              <w:t>Big Omega</w:t>
            </w:r>
          </w:p>
        </w:tc>
        <w:tc>
          <w:tcPr>
            <w:tcW w:w="0" w:type="auto"/>
            <w:vAlign w:val="center"/>
            <w:hideMark/>
          </w:tcPr>
          <w:p w:rsidR="002C0F11" w:rsidRDefault="002C0F11">
            <w:pPr>
              <w:rPr>
                <w:sz w:val="24"/>
                <w:szCs w:val="24"/>
              </w:rPr>
            </w:pPr>
            <w:r>
              <w:rPr>
                <w:rStyle w:val="texhtml"/>
                <w:i/>
                <w:iCs/>
              </w:rPr>
              <w:t>f</w:t>
            </w:r>
            <w:r>
              <w:t xml:space="preserve"> is bounded below by </w:t>
            </w:r>
            <w:r>
              <w:rPr>
                <w:rStyle w:val="texhtml"/>
                <w:i/>
                <w:iCs/>
              </w:rPr>
              <w:t>g</w:t>
            </w:r>
            <w:r>
              <w:t xml:space="preserve"> (up to constant factor) asymptotically</w:t>
            </w:r>
          </w:p>
        </w:tc>
        <w:tc>
          <w:tcPr>
            <w:tcW w:w="0" w:type="auto"/>
            <w:vAlign w:val="center"/>
            <w:hideMark/>
          </w:tcPr>
          <w:p w:rsidR="002C0F11" w:rsidRDefault="002C0F11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190625" cy="201930"/>
                  <wp:effectExtent l="19050" t="0" r="9525" b="0"/>
                  <wp:docPr id="7" name="Picture 7" descr="f(n)  \geq  g(n)\cdot 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(n)  \geq  g(n)\cdot 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for some positive </w:t>
            </w:r>
            <w:r>
              <w:rPr>
                <w:i/>
                <w:iCs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2C0F11" w:rsidRDefault="002C0F11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774950" cy="201930"/>
                  <wp:effectExtent l="19050" t="0" r="6350" b="0"/>
                  <wp:docPr id="8" name="Picture 8" descr="\exists k&gt;0, n_0 \; \forall n&gt;n_0 \; g(n)\cdot k \leq f(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exists k&gt;0, n_0 \; \forall n&gt;n_0 \; g(n)\cdot k \leq f(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F11" w:rsidTr="002C0F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0F11" w:rsidRDefault="002C0F11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233170" cy="201930"/>
                  <wp:effectExtent l="19050" t="0" r="5080" b="0"/>
                  <wp:docPr id="9" name="Picture 9" descr="f(n) \in \Theta(g(n)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(n) \in \Theta(g(n)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0F11" w:rsidRDefault="002C0F11">
            <w:pPr>
              <w:rPr>
                <w:sz w:val="24"/>
                <w:szCs w:val="24"/>
              </w:rPr>
            </w:pPr>
            <w:r>
              <w:t>Big Theta</w:t>
            </w:r>
          </w:p>
        </w:tc>
        <w:tc>
          <w:tcPr>
            <w:tcW w:w="0" w:type="auto"/>
            <w:vAlign w:val="center"/>
            <w:hideMark/>
          </w:tcPr>
          <w:p w:rsidR="002C0F11" w:rsidRDefault="002C0F11">
            <w:pPr>
              <w:rPr>
                <w:sz w:val="24"/>
                <w:szCs w:val="24"/>
              </w:rPr>
            </w:pPr>
            <w:r>
              <w:rPr>
                <w:rStyle w:val="texhtml"/>
                <w:i/>
                <w:iCs/>
              </w:rPr>
              <w:t>f</w:t>
            </w:r>
            <w:r>
              <w:t xml:space="preserve"> is bounded both above and below by </w:t>
            </w:r>
            <w:r>
              <w:rPr>
                <w:rStyle w:val="texhtml"/>
                <w:i/>
                <w:iCs/>
              </w:rPr>
              <w:t>g</w:t>
            </w:r>
            <w:r>
              <w:t xml:space="preserve"> asymptotically</w:t>
            </w:r>
          </w:p>
        </w:tc>
        <w:tc>
          <w:tcPr>
            <w:tcW w:w="0" w:type="auto"/>
            <w:vAlign w:val="center"/>
            <w:hideMark/>
          </w:tcPr>
          <w:p w:rsidR="002C0F11" w:rsidRDefault="002C0F11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190115" cy="201930"/>
                  <wp:effectExtent l="19050" t="0" r="635" b="0"/>
                  <wp:docPr id="10" name="Picture 10" descr="g(n)\cdot k_1 \leq f(n) \leq g(n)\cdot k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(n)\cdot k_1 \leq f(n) \leq g(n)\cdot k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11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for some positive </w:t>
            </w:r>
            <w:r>
              <w:rPr>
                <w:i/>
                <w:iCs/>
              </w:rPr>
              <w:t>k</w:t>
            </w:r>
            <w:r>
              <w:rPr>
                <w:vertAlign w:val="subscript"/>
              </w:rPr>
              <w:t>1</w:t>
            </w:r>
            <w:r>
              <w:t xml:space="preserve">, </w:t>
            </w:r>
            <w:r>
              <w:rPr>
                <w:i/>
                <w:iCs/>
              </w:rPr>
              <w:t>k</w:t>
            </w:r>
            <w:r>
              <w:rPr>
                <w:vertAlign w:val="sub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0F11" w:rsidRDefault="002C0F11">
            <w:r>
              <w:rPr>
                <w:noProof/>
              </w:rPr>
              <w:drawing>
                <wp:inline distT="0" distB="0" distL="0" distR="0">
                  <wp:extent cx="1839595" cy="170180"/>
                  <wp:effectExtent l="19050" t="0" r="8255" b="0"/>
                  <wp:docPr id="11" name="Picture 11" descr="\exists k_1,k_2&gt;0, n_0 \; \forall n&gt;n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exists k_1,k_2&gt;0, n_0 \; \forall n&gt;n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F11" w:rsidRDefault="002C0F11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2190115" cy="201930"/>
                  <wp:effectExtent l="19050" t="0" r="635" b="0"/>
                  <wp:docPr id="12" name="Picture 12" descr="g(n) \cdot k_1 \leq f(n) \leq g(n) \cdot k_2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(n) \cdot k_1 \leq f(n) \leq g(n) \cdot k_2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11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F11" w:rsidTr="002C0F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0F11" w:rsidRDefault="002C0F11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169670" cy="201930"/>
                  <wp:effectExtent l="19050" t="0" r="0" b="0"/>
                  <wp:docPr id="13" name="Picture 13" descr="f(n) \in o(g(n)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(n) \in o(g(n)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0F11" w:rsidRDefault="002C0F11">
            <w:pPr>
              <w:rPr>
                <w:sz w:val="24"/>
                <w:szCs w:val="24"/>
              </w:rPr>
            </w:pPr>
            <w:r>
              <w:t>Small Omicron; Small O; Small Oh</w:t>
            </w:r>
          </w:p>
        </w:tc>
        <w:tc>
          <w:tcPr>
            <w:tcW w:w="0" w:type="auto"/>
            <w:vAlign w:val="center"/>
            <w:hideMark/>
          </w:tcPr>
          <w:p w:rsidR="002C0F11" w:rsidRDefault="002C0F11">
            <w:pPr>
              <w:rPr>
                <w:sz w:val="24"/>
                <w:szCs w:val="24"/>
              </w:rPr>
            </w:pPr>
            <w:r>
              <w:rPr>
                <w:rStyle w:val="texhtml"/>
                <w:i/>
                <w:iCs/>
              </w:rPr>
              <w:t>f</w:t>
            </w:r>
            <w:r>
              <w:t xml:space="preserve"> is dominated by </w:t>
            </w:r>
            <w:r>
              <w:rPr>
                <w:rStyle w:val="texhtml"/>
                <w:i/>
                <w:iCs/>
              </w:rPr>
              <w:t>g</w:t>
            </w:r>
            <w:r>
              <w:t xml:space="preserve"> asymptotically</w:t>
            </w:r>
          </w:p>
        </w:tc>
        <w:tc>
          <w:tcPr>
            <w:tcW w:w="0" w:type="auto"/>
            <w:vAlign w:val="center"/>
            <w:hideMark/>
          </w:tcPr>
          <w:p w:rsidR="002C0F11" w:rsidRDefault="002C0F11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82395" cy="201930"/>
                  <wp:effectExtent l="19050" t="0" r="8255" b="0"/>
                  <wp:docPr id="14" name="Picture 14" descr="|f(n)| \le |g(n)|\cdot \varepsi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|f(n)| \le |g(n)|\cdot \varepsi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for every </w:t>
            </w:r>
            <w:r>
              <w:rPr>
                <w:rStyle w:val="texhtml"/>
              </w:rPr>
              <w:t>ε</w:t>
            </w:r>
          </w:p>
        </w:tc>
        <w:tc>
          <w:tcPr>
            <w:tcW w:w="0" w:type="auto"/>
            <w:vAlign w:val="center"/>
            <w:hideMark/>
          </w:tcPr>
          <w:p w:rsidR="002C0F11" w:rsidRDefault="002C0F11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030220" cy="201930"/>
                  <wp:effectExtent l="19050" t="0" r="0" b="0"/>
                  <wp:docPr id="15" name="Picture 15" descr="\forall \varepsilon&gt;0 \; \exists n_0 \; \forall n&gt;n_0 \; |f(n)| \le |g(n)\cdot \varepsilon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forall \varepsilon&gt;0 \; \exists n_0 \; \forall n&gt;n_0 \; |f(n)| \le |g(n)\cdot \varepsilon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22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F11" w:rsidTr="002C0F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0F11" w:rsidRDefault="002C0F11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201420" cy="201930"/>
                  <wp:effectExtent l="19050" t="0" r="0" b="0"/>
                  <wp:docPr id="16" name="Picture 16" descr="f(n) \in \omega(g(n)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(n) \in \omega(g(n)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42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0F11" w:rsidRDefault="002C0F11">
            <w:pPr>
              <w:rPr>
                <w:sz w:val="24"/>
                <w:szCs w:val="24"/>
              </w:rPr>
            </w:pPr>
            <w:r>
              <w:t>Small Omega</w:t>
            </w:r>
          </w:p>
        </w:tc>
        <w:tc>
          <w:tcPr>
            <w:tcW w:w="0" w:type="auto"/>
            <w:vAlign w:val="center"/>
            <w:hideMark/>
          </w:tcPr>
          <w:p w:rsidR="002C0F11" w:rsidRDefault="002C0F11">
            <w:pPr>
              <w:rPr>
                <w:sz w:val="24"/>
                <w:szCs w:val="24"/>
              </w:rPr>
            </w:pPr>
            <w:r>
              <w:rPr>
                <w:rStyle w:val="texhtml"/>
                <w:i/>
                <w:iCs/>
              </w:rPr>
              <w:t>f</w:t>
            </w:r>
            <w:r>
              <w:t xml:space="preserve"> dominates </w:t>
            </w:r>
            <w:r>
              <w:rPr>
                <w:rStyle w:val="texhtml"/>
                <w:i/>
                <w:iCs/>
              </w:rPr>
              <w:t>g</w:t>
            </w:r>
            <w:r>
              <w:t xml:space="preserve"> asymptotically</w:t>
            </w:r>
          </w:p>
        </w:tc>
        <w:tc>
          <w:tcPr>
            <w:tcW w:w="0" w:type="auto"/>
            <w:vAlign w:val="center"/>
            <w:hideMark/>
          </w:tcPr>
          <w:p w:rsidR="002C0F11" w:rsidRDefault="002C0F11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190625" cy="201930"/>
                  <wp:effectExtent l="19050" t="0" r="9525" b="0"/>
                  <wp:docPr id="17" name="Picture 17" descr="f(n) \ge g(n)\cdot 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(n) \ge g(n)\cdot 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for every </w:t>
            </w:r>
            <w:r>
              <w:rPr>
                <w:i/>
                <w:iCs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2C0F11" w:rsidRDefault="002C0F11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860040" cy="201930"/>
                  <wp:effectExtent l="19050" t="0" r="0" b="0"/>
                  <wp:docPr id="18" name="Picture 18" descr="\forall k&gt;0 \; \exists n_0 \; \forall n&gt;n_0 \; g(n)\cdot k \le f(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\forall k&gt;0 \; \exists n_0 \; \forall n&gt;n_0 \; g(n)\cdot k \le f(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F11" w:rsidTr="002C0F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0F11" w:rsidRDefault="002C0F11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56945" cy="201930"/>
                  <wp:effectExtent l="19050" t="0" r="0" b="0"/>
                  <wp:docPr id="19" name="Picture 19" descr="f(n)\sim g(n)\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(n)\sim g(n)\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0F11" w:rsidRDefault="002C0F11">
            <w:pPr>
              <w:rPr>
                <w:sz w:val="24"/>
                <w:szCs w:val="24"/>
              </w:rPr>
            </w:pPr>
            <w:r>
              <w:t>on the order of; "twiddles"</w:t>
            </w:r>
          </w:p>
        </w:tc>
        <w:tc>
          <w:tcPr>
            <w:tcW w:w="0" w:type="auto"/>
            <w:vAlign w:val="center"/>
            <w:hideMark/>
          </w:tcPr>
          <w:p w:rsidR="002C0F11" w:rsidRDefault="002C0F11">
            <w:pPr>
              <w:rPr>
                <w:sz w:val="24"/>
                <w:szCs w:val="24"/>
              </w:rPr>
            </w:pPr>
            <w:r>
              <w:rPr>
                <w:rStyle w:val="texhtml"/>
                <w:i/>
                <w:iCs/>
              </w:rPr>
              <w:t>f</w:t>
            </w:r>
            <w:r>
              <w:t xml:space="preserve"> is equal to </w:t>
            </w:r>
            <w:r>
              <w:rPr>
                <w:rStyle w:val="texhtml"/>
                <w:i/>
                <w:iCs/>
              </w:rPr>
              <w:t>g</w:t>
            </w:r>
            <w:r>
              <w:t xml:space="preserve"> asymptotically</w:t>
            </w:r>
          </w:p>
        </w:tc>
        <w:tc>
          <w:tcPr>
            <w:tcW w:w="0" w:type="auto"/>
            <w:vAlign w:val="center"/>
            <w:hideMark/>
          </w:tcPr>
          <w:p w:rsidR="002C0F11" w:rsidRDefault="002C0F11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180465" cy="201930"/>
                  <wp:effectExtent l="19050" t="0" r="635" b="0"/>
                  <wp:docPr id="20" name="Picture 20" descr="f(n)/g(n) \t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(n)/g(n) \t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0F11" w:rsidRDefault="002C0F11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849245" cy="499745"/>
                  <wp:effectExtent l="19050" t="0" r="8255" b="0"/>
                  <wp:docPr id="21" name="Picture 21" descr="\forall \varepsilon&gt;0\;\exists n_0\;\forall n&gt;n_0\;\left|{f(n) \over g(n)}-1\right|&lt;\varepsi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\forall \varepsilon&gt;0\;\exists n_0\;\forall n&gt;n_0\;\left|{f(n) \over g(n)}-1\right|&lt;\varepsi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245" cy="499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F11" w:rsidRDefault="002C0F11" w:rsidP="002C0F11">
      <w:pPr>
        <w:pStyle w:val="NormalWeb"/>
        <w:rPr>
          <w:lang/>
        </w:rPr>
      </w:pPr>
      <w:r>
        <w:rPr>
          <w:lang/>
        </w:rPr>
        <w:t xml:space="preserve">Bachmann–Landau notation was designed around several </w:t>
      </w:r>
      <w:hyperlink r:id="rId25" w:tooltip="Mnemonic" w:history="1">
        <w:r>
          <w:rPr>
            <w:rStyle w:val="Hyperlink"/>
            <w:lang/>
          </w:rPr>
          <w:t>mnemonics</w:t>
        </w:r>
      </w:hyperlink>
      <w:r>
        <w:rPr>
          <w:lang/>
        </w:rPr>
        <w:t xml:space="preserve">, as shown in the </w:t>
      </w:r>
      <w:proofErr w:type="spellStart"/>
      <w:proofErr w:type="gramStart"/>
      <w:r>
        <w:rPr>
          <w:i/>
          <w:iCs/>
          <w:lang/>
        </w:rPr>
        <w:t>As</w:t>
      </w:r>
      <w:proofErr w:type="spellEnd"/>
      <w:r>
        <w:rPr>
          <w:i/>
          <w:iCs/>
          <w:lang/>
        </w:rPr>
        <w:t xml:space="preserve"> </w:t>
      </w:r>
      <w:proofErr w:type="gramEnd"/>
      <w:r>
        <w:rPr>
          <w:i/>
          <w:iCs/>
          <w:noProof/>
        </w:rPr>
        <w:drawing>
          <wp:inline distT="0" distB="0" distL="0" distR="0">
            <wp:extent cx="584835" cy="95885"/>
            <wp:effectExtent l="19050" t="0" r="5715" b="0"/>
            <wp:docPr id="22" name="Picture 22" descr=" n \to \inf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 n \to \inft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lang/>
        </w:rPr>
        <w:t>, eventually...</w:t>
      </w:r>
      <w:r>
        <w:rPr>
          <w:lang/>
        </w:rPr>
        <w:t xml:space="preserve"> column above and in the bullets below. To conceptually access these mnemonics, "omicron" can be read "o-</w:t>
      </w:r>
      <w:r>
        <w:rPr>
          <w:i/>
          <w:iCs/>
          <w:lang/>
        </w:rPr>
        <w:t>micro</w:t>
      </w:r>
      <w:r>
        <w:rPr>
          <w:lang/>
        </w:rPr>
        <w:t>n" and "omega" can be read "o-</w:t>
      </w:r>
      <w:r>
        <w:rPr>
          <w:i/>
          <w:iCs/>
          <w:lang/>
        </w:rPr>
        <w:t>mega</w:t>
      </w:r>
      <w:r>
        <w:rPr>
          <w:lang/>
        </w:rPr>
        <w:t>". Also, the lower-case versus capitalization of the Greek letters in Bachmann–Landau notation is mnemonic.</w:t>
      </w:r>
    </w:p>
    <w:p w:rsidR="002C0F11" w:rsidRDefault="002C0F11" w:rsidP="002C0F11">
      <w:pPr>
        <w:numPr>
          <w:ilvl w:val="0"/>
          <w:numId w:val="1"/>
        </w:numPr>
        <w:spacing w:before="100" w:beforeAutospacing="1" w:after="100" w:afterAutospacing="1" w:line="240" w:lineRule="auto"/>
        <w:ind w:left="384"/>
        <w:rPr>
          <w:lang/>
        </w:rPr>
      </w:pPr>
      <w:r>
        <w:rPr>
          <w:lang/>
        </w:rPr>
        <w:t xml:space="preserve">The </w:t>
      </w:r>
      <w:r>
        <w:rPr>
          <w:i/>
          <w:iCs/>
          <w:lang/>
        </w:rPr>
        <w:t>o-</w:t>
      </w:r>
      <w:r>
        <w:rPr>
          <w:b/>
          <w:bCs/>
          <w:i/>
          <w:iCs/>
          <w:lang/>
        </w:rPr>
        <w:t>micro</w:t>
      </w:r>
      <w:r>
        <w:rPr>
          <w:i/>
          <w:iCs/>
          <w:lang/>
        </w:rPr>
        <w:t>n mnemonic</w:t>
      </w:r>
      <w:r>
        <w:rPr>
          <w:lang/>
        </w:rPr>
        <w:t>: The o-</w:t>
      </w:r>
      <w:r>
        <w:rPr>
          <w:i/>
          <w:iCs/>
          <w:lang/>
        </w:rPr>
        <w:t>micro</w:t>
      </w:r>
      <w:r>
        <w:rPr>
          <w:lang/>
        </w:rPr>
        <w:t xml:space="preserve">n reading of </w:t>
      </w:r>
      <w:r>
        <w:rPr>
          <w:noProof/>
        </w:rPr>
        <w:drawing>
          <wp:inline distT="0" distB="0" distL="0" distR="0">
            <wp:extent cx="1233170" cy="201930"/>
            <wp:effectExtent l="19050" t="0" r="5080" b="0"/>
            <wp:docPr id="23" name="Picture 23" descr="f(n) \in O(g(n)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(n) \in O(g(n)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/>
        </w:rPr>
        <w:t xml:space="preserve">and of </w:t>
      </w:r>
      <w:r>
        <w:rPr>
          <w:noProof/>
        </w:rPr>
        <w:drawing>
          <wp:inline distT="0" distB="0" distL="0" distR="0">
            <wp:extent cx="1169670" cy="201930"/>
            <wp:effectExtent l="19050" t="0" r="0" b="0"/>
            <wp:docPr id="24" name="Picture 24" descr="f(n) \in o(g(n)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(n) \in o(g(n))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/>
        </w:rPr>
        <w:t>can be thought of as "O-</w:t>
      </w:r>
      <w:r>
        <w:rPr>
          <w:i/>
          <w:iCs/>
          <w:lang/>
        </w:rPr>
        <w:t>smaller than</w:t>
      </w:r>
      <w:r>
        <w:rPr>
          <w:lang/>
        </w:rPr>
        <w:t>" and "o-</w:t>
      </w:r>
      <w:r>
        <w:rPr>
          <w:i/>
          <w:iCs/>
          <w:lang/>
        </w:rPr>
        <w:t>smaller than</w:t>
      </w:r>
      <w:r>
        <w:rPr>
          <w:lang/>
        </w:rPr>
        <w:t xml:space="preserve">", respectively. This </w:t>
      </w:r>
      <w:r>
        <w:rPr>
          <w:i/>
          <w:iCs/>
          <w:lang/>
        </w:rPr>
        <w:t>micro</w:t>
      </w:r>
      <w:r>
        <w:rPr>
          <w:lang/>
        </w:rPr>
        <w:t xml:space="preserve">/smaller mnemonic refers to: for sufficiently large input parameter(s), </w:t>
      </w:r>
      <w:r>
        <w:rPr>
          <w:rStyle w:val="texhtml"/>
          <w:i/>
          <w:iCs/>
          <w:lang/>
        </w:rPr>
        <w:t>f</w:t>
      </w:r>
      <w:r>
        <w:rPr>
          <w:lang/>
        </w:rPr>
        <w:t xml:space="preserve"> grows at a rate that may henceforth be </w:t>
      </w:r>
      <w:r>
        <w:rPr>
          <w:b/>
          <w:bCs/>
          <w:lang/>
        </w:rPr>
        <w:t>less</w:t>
      </w:r>
      <w:r>
        <w:rPr>
          <w:lang/>
        </w:rPr>
        <w:t xml:space="preserve"> than </w:t>
      </w:r>
      <w:r>
        <w:rPr>
          <w:rStyle w:val="texhtml"/>
          <w:i/>
          <w:iCs/>
          <w:lang/>
        </w:rPr>
        <w:t>cg</w:t>
      </w:r>
      <w:r>
        <w:rPr>
          <w:lang/>
        </w:rPr>
        <w:t xml:space="preserve"> regarding </w:t>
      </w:r>
      <w:r>
        <w:rPr>
          <w:noProof/>
        </w:rPr>
        <w:drawing>
          <wp:inline distT="0" distB="0" distL="0" distR="0">
            <wp:extent cx="712470" cy="201930"/>
            <wp:effectExtent l="19050" t="0" r="0" b="0"/>
            <wp:docPr id="25" name="Picture 25" descr="g \in O(f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 \in O(f)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lang/>
        </w:rPr>
        <w:t xml:space="preserve">or </w:t>
      </w:r>
      <w:proofErr w:type="gramEnd"/>
      <w:r>
        <w:rPr>
          <w:noProof/>
        </w:rPr>
        <w:drawing>
          <wp:inline distT="0" distB="0" distL="0" distR="0">
            <wp:extent cx="659130" cy="201930"/>
            <wp:effectExtent l="19050" t="0" r="7620" b="0"/>
            <wp:docPr id="26" name="Picture 26" descr="g \in o(f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 \in o(f)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/>
        </w:rPr>
        <w:t>.</w:t>
      </w:r>
    </w:p>
    <w:p w:rsidR="002C0F11" w:rsidRDefault="002C0F11" w:rsidP="002C0F11">
      <w:pPr>
        <w:numPr>
          <w:ilvl w:val="0"/>
          <w:numId w:val="1"/>
        </w:numPr>
        <w:spacing w:before="100" w:beforeAutospacing="1" w:after="100" w:afterAutospacing="1" w:line="240" w:lineRule="auto"/>
        <w:ind w:left="384"/>
        <w:rPr>
          <w:lang/>
        </w:rPr>
      </w:pPr>
      <w:r>
        <w:rPr>
          <w:lang/>
        </w:rPr>
        <w:t xml:space="preserve">The </w:t>
      </w:r>
      <w:r>
        <w:rPr>
          <w:i/>
          <w:iCs/>
          <w:lang/>
        </w:rPr>
        <w:t>o-</w:t>
      </w:r>
      <w:r>
        <w:rPr>
          <w:b/>
          <w:bCs/>
          <w:i/>
          <w:iCs/>
          <w:lang/>
        </w:rPr>
        <w:t>mega</w:t>
      </w:r>
      <w:r>
        <w:rPr>
          <w:i/>
          <w:iCs/>
          <w:lang/>
        </w:rPr>
        <w:t xml:space="preserve"> mnemonic</w:t>
      </w:r>
      <w:r>
        <w:rPr>
          <w:lang/>
        </w:rPr>
        <w:t>: The o-</w:t>
      </w:r>
      <w:r>
        <w:rPr>
          <w:i/>
          <w:iCs/>
          <w:lang/>
        </w:rPr>
        <w:t>mega</w:t>
      </w:r>
      <w:r>
        <w:rPr>
          <w:lang/>
        </w:rPr>
        <w:t xml:space="preserve"> reading of </w:t>
      </w:r>
      <w:r>
        <w:rPr>
          <w:noProof/>
        </w:rPr>
        <w:drawing>
          <wp:inline distT="0" distB="0" distL="0" distR="0">
            <wp:extent cx="1212215" cy="201930"/>
            <wp:effectExtent l="19050" t="0" r="6985" b="0"/>
            <wp:docPr id="27" name="Picture 27" descr="f(n) \in \Omega(g(n)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(n) \in \Omega(g(n)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/>
        </w:rPr>
        <w:t xml:space="preserve">and of </w:t>
      </w:r>
      <w:r>
        <w:rPr>
          <w:noProof/>
        </w:rPr>
        <w:drawing>
          <wp:inline distT="0" distB="0" distL="0" distR="0">
            <wp:extent cx="1201420" cy="201930"/>
            <wp:effectExtent l="19050" t="0" r="0" b="0"/>
            <wp:docPr id="28" name="Picture 28" descr="f(n) \in \omega(g(n)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(n) \in \omega(g(n))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/>
        </w:rPr>
        <w:t xml:space="preserve">can be thought of </w:t>
      </w:r>
      <w:proofErr w:type="gramStart"/>
      <w:r>
        <w:rPr>
          <w:lang/>
        </w:rPr>
        <w:t>as "O-</w:t>
      </w:r>
      <w:r>
        <w:rPr>
          <w:i/>
          <w:iCs/>
          <w:lang/>
        </w:rPr>
        <w:t>larger than</w:t>
      </w:r>
      <w:proofErr w:type="gramEnd"/>
      <w:r>
        <w:rPr>
          <w:lang/>
        </w:rPr>
        <w:t xml:space="preserve">". This </w:t>
      </w:r>
      <w:r>
        <w:rPr>
          <w:i/>
          <w:iCs/>
          <w:lang/>
        </w:rPr>
        <w:t>mega</w:t>
      </w:r>
      <w:r>
        <w:rPr>
          <w:lang/>
        </w:rPr>
        <w:t xml:space="preserve">/larger mnemonic refers to: for sufficiently large input parameter(s), </w:t>
      </w:r>
      <w:r>
        <w:rPr>
          <w:rStyle w:val="texhtml"/>
          <w:i/>
          <w:iCs/>
          <w:lang/>
        </w:rPr>
        <w:t>f</w:t>
      </w:r>
      <w:r>
        <w:rPr>
          <w:lang/>
        </w:rPr>
        <w:t xml:space="preserve"> grows at a rate that may henceforth be </w:t>
      </w:r>
      <w:r>
        <w:rPr>
          <w:b/>
          <w:bCs/>
          <w:lang/>
        </w:rPr>
        <w:t>greater</w:t>
      </w:r>
      <w:r>
        <w:rPr>
          <w:lang/>
        </w:rPr>
        <w:t xml:space="preserve"> than </w:t>
      </w:r>
      <w:r>
        <w:rPr>
          <w:rStyle w:val="texhtml"/>
          <w:i/>
          <w:iCs/>
          <w:lang/>
        </w:rPr>
        <w:t>cg</w:t>
      </w:r>
      <w:r>
        <w:rPr>
          <w:lang/>
        </w:rPr>
        <w:t xml:space="preserve"> regarding </w:t>
      </w:r>
      <w:r>
        <w:rPr>
          <w:noProof/>
        </w:rPr>
        <w:drawing>
          <wp:inline distT="0" distB="0" distL="0" distR="0">
            <wp:extent cx="701675" cy="201930"/>
            <wp:effectExtent l="19050" t="0" r="3175" b="0"/>
            <wp:docPr id="29" name="Picture 29" descr="g \in \Omega(f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 \in \Omega(f)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lang/>
        </w:rPr>
        <w:t xml:space="preserve">or </w:t>
      </w:r>
      <w:proofErr w:type="gramEnd"/>
      <w:r>
        <w:rPr>
          <w:noProof/>
        </w:rPr>
        <w:drawing>
          <wp:inline distT="0" distB="0" distL="0" distR="0">
            <wp:extent cx="690880" cy="201930"/>
            <wp:effectExtent l="19050" t="0" r="0" b="0"/>
            <wp:docPr id="30" name="Picture 30" descr="g \in \omega(f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 \in \omega(f)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/>
        </w:rPr>
        <w:t>.</w:t>
      </w:r>
    </w:p>
    <w:p w:rsidR="002C0F11" w:rsidRDefault="002C0F11" w:rsidP="002C0F11">
      <w:pPr>
        <w:numPr>
          <w:ilvl w:val="0"/>
          <w:numId w:val="1"/>
        </w:numPr>
        <w:spacing w:before="100" w:beforeAutospacing="1" w:after="100" w:afterAutospacing="1" w:line="240" w:lineRule="auto"/>
        <w:ind w:left="384"/>
        <w:rPr>
          <w:lang/>
        </w:rPr>
      </w:pPr>
      <w:r>
        <w:rPr>
          <w:lang/>
        </w:rPr>
        <w:t xml:space="preserve">The </w:t>
      </w:r>
      <w:r>
        <w:rPr>
          <w:b/>
          <w:bCs/>
          <w:i/>
          <w:iCs/>
          <w:lang/>
        </w:rPr>
        <w:t>upper</w:t>
      </w:r>
      <w:r>
        <w:rPr>
          <w:i/>
          <w:iCs/>
          <w:lang/>
        </w:rPr>
        <w:t>-case mnemonic</w:t>
      </w:r>
      <w:r>
        <w:rPr>
          <w:lang/>
        </w:rPr>
        <w:t xml:space="preserve">: This mnemonic reminds us when to use the upper-case Greek letters in </w:t>
      </w:r>
      <w:r>
        <w:rPr>
          <w:noProof/>
        </w:rPr>
        <w:drawing>
          <wp:inline distT="0" distB="0" distL="0" distR="0">
            <wp:extent cx="1233170" cy="201930"/>
            <wp:effectExtent l="19050" t="0" r="5080" b="0"/>
            <wp:docPr id="31" name="Picture 31" descr="f(n) \in O(g(n)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(n) \in O(g(n)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lang/>
        </w:rPr>
        <w:t xml:space="preserve">and </w:t>
      </w:r>
      <w:proofErr w:type="gramEnd"/>
      <w:r>
        <w:rPr>
          <w:noProof/>
        </w:rPr>
        <w:drawing>
          <wp:inline distT="0" distB="0" distL="0" distR="0">
            <wp:extent cx="1212215" cy="201930"/>
            <wp:effectExtent l="19050" t="0" r="6985" b="0"/>
            <wp:docPr id="32" name="Picture 32" descr="f(n) \in \Omega(g(n)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f(n) \in \Omega(g(n)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/>
        </w:rPr>
        <w:t xml:space="preserve">: for sufficiently large input parameter(s), </w:t>
      </w:r>
      <w:r>
        <w:rPr>
          <w:rStyle w:val="texhtml"/>
          <w:i/>
          <w:iCs/>
          <w:lang/>
        </w:rPr>
        <w:t>f</w:t>
      </w:r>
      <w:r>
        <w:rPr>
          <w:lang/>
        </w:rPr>
        <w:t xml:space="preserve"> grows at a rate that may henceforth be </w:t>
      </w:r>
      <w:r>
        <w:rPr>
          <w:b/>
          <w:bCs/>
          <w:lang/>
        </w:rPr>
        <w:t>equal</w:t>
      </w:r>
      <w:r>
        <w:rPr>
          <w:lang/>
        </w:rPr>
        <w:t xml:space="preserve"> to </w:t>
      </w:r>
      <w:r>
        <w:rPr>
          <w:rStyle w:val="texhtml"/>
          <w:i/>
          <w:iCs/>
          <w:lang/>
        </w:rPr>
        <w:t>cg</w:t>
      </w:r>
      <w:r>
        <w:rPr>
          <w:lang/>
        </w:rPr>
        <w:t xml:space="preserve"> regarding </w:t>
      </w:r>
      <w:r>
        <w:rPr>
          <w:noProof/>
        </w:rPr>
        <w:drawing>
          <wp:inline distT="0" distB="0" distL="0" distR="0">
            <wp:extent cx="712470" cy="201930"/>
            <wp:effectExtent l="19050" t="0" r="0" b="0"/>
            <wp:docPr id="33" name="Picture 33" descr="g \in O(f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g \in O(f)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/>
        </w:rPr>
        <w:t>.</w:t>
      </w:r>
    </w:p>
    <w:p w:rsidR="002C0F11" w:rsidRDefault="002C0F11" w:rsidP="002C0F11">
      <w:pPr>
        <w:numPr>
          <w:ilvl w:val="0"/>
          <w:numId w:val="1"/>
        </w:numPr>
        <w:spacing w:before="100" w:beforeAutospacing="1" w:after="100" w:afterAutospacing="1" w:line="240" w:lineRule="auto"/>
        <w:ind w:left="384"/>
        <w:rPr>
          <w:lang/>
        </w:rPr>
      </w:pPr>
      <w:r>
        <w:rPr>
          <w:lang/>
        </w:rPr>
        <w:t xml:space="preserve">The </w:t>
      </w:r>
      <w:r>
        <w:rPr>
          <w:b/>
          <w:bCs/>
          <w:i/>
          <w:iCs/>
          <w:lang/>
        </w:rPr>
        <w:t>lower</w:t>
      </w:r>
      <w:r>
        <w:rPr>
          <w:i/>
          <w:iCs/>
          <w:lang/>
        </w:rPr>
        <w:t>-case mnemonic</w:t>
      </w:r>
      <w:r>
        <w:rPr>
          <w:lang/>
        </w:rPr>
        <w:t xml:space="preserve">: This mnemonic reminds us when to use the lower-case Greek letters in </w:t>
      </w:r>
      <w:r>
        <w:rPr>
          <w:noProof/>
        </w:rPr>
        <w:drawing>
          <wp:inline distT="0" distB="0" distL="0" distR="0">
            <wp:extent cx="1169670" cy="201930"/>
            <wp:effectExtent l="19050" t="0" r="0" b="0"/>
            <wp:docPr id="34" name="Picture 34" descr="f(n) \in o(g(n)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f(n) \in o(g(n))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lang/>
        </w:rPr>
        <w:t xml:space="preserve">and </w:t>
      </w:r>
      <w:proofErr w:type="gramEnd"/>
      <w:r>
        <w:rPr>
          <w:noProof/>
        </w:rPr>
        <w:drawing>
          <wp:inline distT="0" distB="0" distL="0" distR="0">
            <wp:extent cx="1201420" cy="201930"/>
            <wp:effectExtent l="19050" t="0" r="0" b="0"/>
            <wp:docPr id="35" name="Picture 35" descr="f(n) \in \omega(g(n)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f(n) \in \omega(g(n))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/>
        </w:rPr>
        <w:t xml:space="preserve">: for sufficiently large input parameter(s), </w:t>
      </w:r>
      <w:r>
        <w:rPr>
          <w:rStyle w:val="texhtml"/>
          <w:i/>
          <w:iCs/>
          <w:lang/>
        </w:rPr>
        <w:t>f</w:t>
      </w:r>
      <w:r>
        <w:rPr>
          <w:lang/>
        </w:rPr>
        <w:t xml:space="preserve"> grows at a rate that is henceforth </w:t>
      </w:r>
      <w:proofErr w:type="spellStart"/>
      <w:r>
        <w:rPr>
          <w:b/>
          <w:bCs/>
          <w:lang/>
        </w:rPr>
        <w:t>inequal</w:t>
      </w:r>
      <w:proofErr w:type="spellEnd"/>
      <w:r>
        <w:rPr>
          <w:lang/>
        </w:rPr>
        <w:t xml:space="preserve"> to </w:t>
      </w:r>
      <w:r>
        <w:rPr>
          <w:rStyle w:val="texhtml"/>
          <w:i/>
          <w:iCs/>
          <w:lang/>
        </w:rPr>
        <w:t>cg</w:t>
      </w:r>
      <w:r>
        <w:rPr>
          <w:lang/>
        </w:rPr>
        <w:t xml:space="preserve"> regarding </w:t>
      </w:r>
      <w:r>
        <w:rPr>
          <w:noProof/>
        </w:rPr>
        <w:drawing>
          <wp:inline distT="0" distB="0" distL="0" distR="0">
            <wp:extent cx="712470" cy="201930"/>
            <wp:effectExtent l="19050" t="0" r="0" b="0"/>
            <wp:docPr id="36" name="Picture 36" descr="g \in O(f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 \in O(f)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/>
        </w:rPr>
        <w:t>.</w:t>
      </w:r>
    </w:p>
    <w:p w:rsidR="002C0F11" w:rsidRDefault="002C0F11" w:rsidP="002C0F11">
      <w:pPr>
        <w:pStyle w:val="NormalWeb"/>
        <w:rPr>
          <w:lang/>
        </w:rPr>
      </w:pPr>
      <w:r>
        <w:rPr>
          <w:lang/>
        </w:rPr>
        <w:t xml:space="preserve">Aside from Big </w:t>
      </w:r>
      <w:r>
        <w:rPr>
          <w:i/>
          <w:iCs/>
          <w:lang/>
        </w:rPr>
        <w:t>O</w:t>
      </w:r>
      <w:r>
        <w:rPr>
          <w:lang/>
        </w:rPr>
        <w:t xml:space="preserve"> notation, the Big Theta Θ and Big Omega Ω notations are the two most often used in computer science; the Small Omega ω notation is rarely used in computer science.</w:t>
      </w:r>
    </w:p>
    <w:p w:rsidR="002C0F11" w:rsidRPr="002C0F11" w:rsidRDefault="002C0F11">
      <w:pPr>
        <w:rPr>
          <w:rFonts w:ascii="Verdana" w:hAnsi="Verdana"/>
          <w:sz w:val="18"/>
          <w:szCs w:val="18"/>
          <w:lang/>
        </w:rPr>
      </w:pPr>
    </w:p>
    <w:sectPr w:rsidR="002C0F11" w:rsidRPr="002C0F11" w:rsidSect="00DA4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94DEE"/>
    <w:multiLevelType w:val="multilevel"/>
    <w:tmpl w:val="3E50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20"/>
  <w:characterSpacingControl w:val="doNotCompress"/>
  <w:compat>
    <w:useFELayout/>
  </w:compat>
  <w:rsids>
    <w:rsidRoot w:val="002B1AE4"/>
    <w:rsid w:val="002B1AE4"/>
    <w:rsid w:val="002C0F11"/>
    <w:rsid w:val="008E60FF"/>
    <w:rsid w:val="00DA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DE2"/>
  </w:style>
  <w:style w:type="paragraph" w:styleId="Heading3">
    <w:name w:val="heading 3"/>
    <w:basedOn w:val="Normal"/>
    <w:link w:val="Heading3Char"/>
    <w:uiPriority w:val="9"/>
    <w:qFormat/>
    <w:rsid w:val="002C0F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AE4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C0F1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C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html">
    <w:name w:val="texhtml"/>
    <w:basedOn w:val="DefaultParagraphFont"/>
    <w:rsid w:val="002C0F11"/>
    <w:rPr>
      <w:sz w:val="28"/>
      <w:szCs w:val="28"/>
    </w:rPr>
  </w:style>
  <w:style w:type="character" w:customStyle="1" w:styleId="mw-headline">
    <w:name w:val="mw-headline"/>
    <w:basedOn w:val="DefaultParagraphFont"/>
    <w:rsid w:val="002C0F11"/>
  </w:style>
  <w:style w:type="paragraph" w:styleId="BalloonText">
    <w:name w:val="Balloon Text"/>
    <w:basedOn w:val="Normal"/>
    <w:link w:val="BalloonTextChar"/>
    <w:uiPriority w:val="99"/>
    <w:semiHidden/>
    <w:unhideWhenUsed/>
    <w:rsid w:val="002C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F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http://en.wikipedia.org/wiki/Mnemonic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hyperlink" Target="http://en.wikipedia.org/wiki/Big_O_notation#Family_of_Bachmann.E2.80.93Landau_notations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2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603</Words>
  <Characters>3442</Characters>
  <Application>Microsoft Office Word</Application>
  <DocSecurity>0</DocSecurity>
  <Lines>28</Lines>
  <Paragraphs>8</Paragraphs>
  <ScaleCrop>false</ScaleCrop>
  <Company> 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hlee3</dc:creator>
  <cp:keywords/>
  <dc:description/>
  <cp:lastModifiedBy> hlee3</cp:lastModifiedBy>
  <cp:revision>2</cp:revision>
  <dcterms:created xsi:type="dcterms:W3CDTF">2011-11-28T18:50:00Z</dcterms:created>
  <dcterms:modified xsi:type="dcterms:W3CDTF">2011-11-28T18:52:00Z</dcterms:modified>
</cp:coreProperties>
</file>