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91" w:rsidRDefault="00AF1591"/>
    <w:p w:rsidR="00AF1591" w:rsidRDefault="00AF1591" w:rsidP="00AF1591">
      <w:pPr>
        <w:pStyle w:val="ListParagraph"/>
        <w:numPr>
          <w:ilvl w:val="0"/>
          <w:numId w:val="1"/>
        </w:numPr>
      </w:pPr>
      <w:r>
        <w:t>The top 5 Cloud Computing Trend in 2023, Forbe</w:t>
      </w:r>
    </w:p>
    <w:bookmarkStart w:id="0" w:name="_GoBack"/>
    <w:bookmarkEnd w:id="0"/>
    <w:p w:rsidR="00AF1591" w:rsidRDefault="00C7306D" w:rsidP="00AF1591">
      <w:pPr>
        <w:pStyle w:val="ListParagraph"/>
      </w:pPr>
      <w:r>
        <w:fldChar w:fldCharType="begin"/>
      </w:r>
      <w:r>
        <w:instrText xml:space="preserve"> HYPERLINK "</w:instrText>
      </w:r>
      <w:r w:rsidRPr="00C7306D">
        <w:instrText>https://www.forbes.com/sites/bernardmarr/2022/10/17/the-top-5-cloud-computing-trends-in-2023/?sh=5d6bcb8b4648</w:instrText>
      </w:r>
      <w:r>
        <w:instrText xml:space="preserve">" </w:instrText>
      </w:r>
      <w:r>
        <w:fldChar w:fldCharType="separate"/>
      </w:r>
      <w:r w:rsidRPr="006246AD">
        <w:rPr>
          <w:rStyle w:val="Hyperlink"/>
        </w:rPr>
        <w:t>https://www.forbes.com/sites/bernardmarr/2022/10/17/the-top-5-cloud-computing-trends-in-2023/?sh=5d6bcb8b4648</w:t>
      </w:r>
      <w:r>
        <w:fldChar w:fldCharType="end"/>
      </w:r>
    </w:p>
    <w:p w:rsidR="00AF1591" w:rsidRDefault="00AF1591"/>
    <w:p w:rsidR="00AF1591" w:rsidRDefault="00AF1591"/>
    <w:sectPr w:rsidR="00AF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D684B"/>
    <w:multiLevelType w:val="hybridMultilevel"/>
    <w:tmpl w:val="12C8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91"/>
    <w:rsid w:val="004278E8"/>
    <w:rsid w:val="00AF1591"/>
    <w:rsid w:val="00C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344A"/>
  <w15:chartTrackingRefBased/>
  <w15:docId w15:val="{73795AD9-4B7A-4A1E-97C4-089FA3D1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5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257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2022-11-03T15:26:00Z</dcterms:created>
  <dcterms:modified xsi:type="dcterms:W3CDTF">2022-11-03T15:34:00Z</dcterms:modified>
</cp:coreProperties>
</file>